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7D1DB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60" w:lineRule="exact"/>
        <w:ind w:firstLine="320" w:firstLineChars="100"/>
        <w:textAlignment w:val="auto"/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2"/>
          <w:szCs w:val="32"/>
          <w:lang w:val="en-US" w:eastAsia="zh-CN"/>
        </w:rPr>
        <w:t>“印迹乡村·共创计划”专项定制赛道设计需求清单</w:t>
      </w:r>
    </w:p>
    <w:p w14:paraId="33351DFB">
      <w:pPr>
        <w:rPr>
          <w:rFonts w:hint="eastAsia"/>
        </w:rPr>
      </w:pPr>
    </w:p>
    <w:tbl>
      <w:tblPr>
        <w:tblStyle w:val="1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4"/>
        <w:gridCol w:w="1511"/>
        <w:gridCol w:w="6247"/>
      </w:tblGrid>
      <w:tr w14:paraId="35CA30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restart"/>
            <w:vAlign w:val="center"/>
          </w:tcPr>
          <w:p w14:paraId="6FF7E28C">
            <w:pPr>
              <w:jc w:val="center"/>
              <w:rPr>
                <w:rFonts w:hint="eastAsia" w:ascii="宋体" w:hAnsi="宋体" w:eastAsia="宋体" w:cs="宋体"/>
                <w:b/>
                <w:bCs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</w:rPr>
              <w:t>基础信息</w:t>
            </w:r>
          </w:p>
        </w:tc>
        <w:tc>
          <w:tcPr>
            <w:tcW w:w="1511" w:type="dxa"/>
            <w:vAlign w:val="center"/>
          </w:tcPr>
          <w:p w14:paraId="7CDC7B26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需求方类型</w:t>
            </w:r>
          </w:p>
        </w:tc>
        <w:tc>
          <w:tcPr>
            <w:tcW w:w="6247" w:type="dxa"/>
            <w:vAlign w:val="center"/>
          </w:tcPr>
          <w:p w14:paraId="4F82919C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☑行政村 □农业合作社 □文旅企业 □其他</w:t>
            </w:r>
          </w:p>
        </w:tc>
      </w:tr>
      <w:tr w14:paraId="4436A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5C27A95F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02B02993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所在地</w:t>
            </w:r>
          </w:p>
        </w:tc>
        <w:tc>
          <w:tcPr>
            <w:tcW w:w="6247" w:type="dxa"/>
            <w:vAlign w:val="center"/>
          </w:tcPr>
          <w:p w14:paraId="26CCFF3B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昆山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市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周市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镇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  <w:lang w:val="en-US" w:eastAsia="zh-CN"/>
              </w:rPr>
              <w:t>东方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u w:val="single"/>
              </w:rPr>
              <w:t xml:space="preserve"> 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</w:t>
            </w:r>
          </w:p>
        </w:tc>
      </w:tr>
      <w:tr w14:paraId="709440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1AE3CF0A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1D00D13A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项目管理人</w:t>
            </w:r>
          </w:p>
        </w:tc>
        <w:tc>
          <w:tcPr>
            <w:tcW w:w="6247" w:type="dxa"/>
            <w:vAlign w:val="center"/>
          </w:tcPr>
          <w:p w14:paraId="3B6A0C86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姓名：沈兵  职务：村书记   联系方式：13914981339</w:t>
            </w:r>
            <w:bookmarkStart w:id="0" w:name="_GoBack"/>
            <w:bookmarkEnd w:id="0"/>
          </w:p>
        </w:tc>
      </w:tr>
      <w:tr w14:paraId="024777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675FED25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525A0AF7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项目介绍</w:t>
            </w:r>
          </w:p>
        </w:tc>
        <w:tc>
          <w:tcPr>
            <w:tcW w:w="6247" w:type="dxa"/>
            <w:vAlign w:val="center"/>
          </w:tcPr>
          <w:p w14:paraId="4F1A19D9">
            <w:pPr>
              <w:jc w:val="left"/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项目现状描述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​</w:t>
            </w:r>
          </w:p>
          <w:p w14:paraId="40AE4F0B">
            <w:pPr>
              <w:jc w:val="left"/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东方村位于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江苏省昆山市中心城区北侧，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周市镇东南，东面、北面与太仓市毗邻，南与昆山开发区仅一河之隔，西与新镇村接壤，“城北大道”、“昆太路”、“339省道”穿境而过，地理位置优越。</w:t>
            </w:r>
          </w:p>
          <w:p w14:paraId="76542B2B">
            <w:pPr>
              <w:jc w:val="left"/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东方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村行政面积约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10.1平方公里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，现有村民小组40个，划分为15个自然村,仅振东自然村保留为自然村庄居民点，其他自然村并入城镇生活区。共1050户、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3922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人。本次以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振东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村为核心，范围北至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振东村边界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、南至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昆太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路、西至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泥塘河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、东至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南洋路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</w:p>
          <w:p w14:paraId="2A1BC935">
            <w:pPr>
              <w:jc w:val="left"/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特色资源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​</w:t>
            </w:r>
          </w:p>
          <w:p w14:paraId="022D47EC">
            <w:pPr>
              <w:jc w:val="left"/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文化特色：振东侨乡已被列为昆山市文物保护单位，目前尚保留有28栋民国风格建筑，是迄今为止苏南地区发现的唯一的侨乡，也是民国建筑最为集中的群落。民国12年（1923年）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由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曾任孙中山先生正、副卫队长的加拿大归侨黄湘、马湘2人为首发起，吸收一批盼望归国定居的侨胞积极响应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。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这里是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多元文化的桥梁纽带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t>，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是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来自许多祖籍广东岭南地带侨民的智慧结晶，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融合了</w:t>
            </w: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南洋岭南文化、江南水乡文化、近代西方文化。</w:t>
            </w:r>
          </w:p>
          <w:p w14:paraId="59F25DDB">
            <w:pPr>
              <w:jc w:val="left"/>
              <w:rPr>
                <w:rFonts w:hint="eastAsia" w:ascii="仿宋_GB2312" w:hAnsi="仿宋_GB2312" w:eastAsia="仿宋_GB2312" w:cs="仿宋_GB2312"/>
                <w:b/>
                <w:bCs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仿宋_GB2312" w:hAnsi="仿宋_GB2312" w:eastAsia="仿宋_GB2312" w:cs="仿宋_GB2312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生态特色：东方村内的各个自然村普遍依水而筑，枕水而居，呈带状分布特征。而振东侨乡的聚落景观格局在延续传统水乡自然村落的基础上，与侨民的生活方式相结合，形成了更加独特的景观格局。侨乡整体形成了一条河流对应一排房屋的特征，呈8塘8带的格局。村庄的自然景观廊道与人文建筑空间交织的形态，呈现塘宅相依、枕水而居的独特景观格局。</w:t>
            </w:r>
          </w:p>
        </w:tc>
      </w:tr>
      <w:tr w14:paraId="5B8977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75CCB881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4C0577E0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存在主要</w:t>
            </w:r>
          </w:p>
          <w:p w14:paraId="770912B0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问题</w:t>
            </w:r>
          </w:p>
        </w:tc>
        <w:tc>
          <w:tcPr>
            <w:tcW w:w="6247" w:type="dxa"/>
            <w:vAlign w:val="center"/>
          </w:tcPr>
          <w:p w14:paraId="73497865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传统建筑保护形势严峻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：民国时期建筑普遍老化且风貌完整性受损，新建建筑风格不协调。传统修缮工艺要求高、成本高，专业队伍与传承人短缺，叠加产权问题，保护与修缮推进受阻。</w:t>
            </w:r>
          </w:p>
          <w:p w14:paraId="60BF978F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人居环境与基础设施短板明显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：民国时期建筑的空间布局、功能设施已无法满足现代生活需求，存在采光通风不足、厨卫配套简陋等问题。村庄内部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部分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基础设施老化不足，公共停车场、游客服务中心等功能性设施缺失，既影响村民日常生活出行，也制约文旅产业发展。</w:t>
            </w:r>
          </w:p>
          <w:p w14:paraId="6FF93A43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文化传承与活化利用不足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：侨胞后裔外迁导致文化传承断代，年轻一代认知淡化。文化展示载体单一，缺乏系统挖掘与数字化记录，文旅开发处于初级阶段，缺乏特色体验项目。</w:t>
            </w:r>
          </w:p>
          <w:p w14:paraId="6B3F4530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  <w:t>保护与发展协调难度大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：传统建筑严格保护的要求与村民改善居住条件的需求存在矛盾，“活态保护” 与合理利用的平衡难以把控。资金依赖政府投入，村集体经济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实力有限。</w:t>
            </w:r>
          </w:p>
        </w:tc>
      </w:tr>
      <w:tr w14:paraId="5C4AD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7D0BFFC0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7EBCFF55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参考资料</w:t>
            </w:r>
          </w:p>
        </w:tc>
        <w:tc>
          <w:tcPr>
            <w:tcW w:w="6247" w:type="dxa"/>
            <w:vAlign w:val="center"/>
          </w:tcPr>
          <w:p w14:paraId="5111DDF1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☑有（包括：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地形图、☑航拍图、☑老照片、□老图纸）无□</w:t>
            </w:r>
          </w:p>
        </w:tc>
      </w:tr>
      <w:tr w14:paraId="7BEADD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restart"/>
            <w:vAlign w:val="center"/>
          </w:tcPr>
          <w:p w14:paraId="71815402">
            <w:pPr>
              <w:jc w:val="center"/>
              <w:rPr>
                <w:rFonts w:hint="eastAsia" w:ascii="宋体" w:hAnsi="宋体" w:eastAsia="宋体" w:cs="宋体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8"/>
                <w:szCs w:val="28"/>
              </w:rPr>
              <w:t>设计需求</w:t>
            </w:r>
          </w:p>
        </w:tc>
        <w:tc>
          <w:tcPr>
            <w:tcW w:w="1511" w:type="dxa"/>
            <w:vAlign w:val="center"/>
          </w:tcPr>
          <w:p w14:paraId="75FE0428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需求类型</w:t>
            </w:r>
          </w:p>
        </w:tc>
        <w:tc>
          <w:tcPr>
            <w:tcW w:w="6247" w:type="dxa"/>
          </w:tcPr>
          <w:p w14:paraId="72AE3D52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需求描述</w:t>
            </w:r>
          </w:p>
        </w:tc>
      </w:tr>
      <w:tr w14:paraId="62C9CE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5ABC6664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6499DCA7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整体规划</w:t>
            </w:r>
          </w:p>
        </w:tc>
        <w:tc>
          <w:tcPr>
            <w:tcW w:w="6247" w:type="dxa"/>
          </w:tcPr>
          <w:p w14:paraId="2F538957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东方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村以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振东村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为核心片区进行总体规划，统筹考虑与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东方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村整体发展的协调关系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明确其发展定位、功能布局、产业路径与近远期实施计划。</w:t>
            </w:r>
          </w:p>
        </w:tc>
      </w:tr>
      <w:tr w14:paraId="6F4CD0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6FF0CB08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38B68AFE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人居环境提升</w:t>
            </w:r>
          </w:p>
        </w:tc>
        <w:tc>
          <w:tcPr>
            <w:tcW w:w="6247" w:type="dxa"/>
          </w:tcPr>
          <w:p w14:paraId="748F3A73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振东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自然村的房前屋后空间进行提升设计，重点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保护民国建筑、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古树、河道、水塘、古井等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历史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要素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整治杂物堆放、优化绿化与道路景观；同时结合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侨乡民国建筑风貌特色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，设计具有地方特色、经济实用且风貌协调的农房方案。</w:t>
            </w:r>
          </w:p>
        </w:tc>
      </w:tr>
      <w:tr w14:paraId="644116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7283026F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1D7533FE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建筑改造</w:t>
            </w:r>
          </w:p>
        </w:tc>
        <w:tc>
          <w:tcPr>
            <w:tcW w:w="6247" w:type="dxa"/>
          </w:tcPr>
          <w:p w14:paraId="2AE07776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系统盘点村中闲置宅基地、旧民房及公共建筑，选取适宜建筑改造为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华侨文化交流基地、乡村建设研习中心、侨乡历史文化展览馆、文保人居体验坊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等乡村公共服务与产业发展空间，推动存量资源活化利用。</w:t>
            </w:r>
          </w:p>
        </w:tc>
      </w:tr>
      <w:tr w14:paraId="563BEC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3854A999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vAlign w:val="center"/>
          </w:tcPr>
          <w:p w14:paraId="783CF17A">
            <w:pPr>
              <w:jc w:val="center"/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b/>
                <w:bCs/>
                <w:sz w:val="24"/>
                <w:szCs w:val="24"/>
              </w:rPr>
              <w:t>公共空间设计</w:t>
            </w:r>
          </w:p>
        </w:tc>
        <w:tc>
          <w:tcPr>
            <w:tcW w:w="6247" w:type="dxa"/>
          </w:tcPr>
          <w:p w14:paraId="55E2F19E">
            <w:pPr>
              <w:jc w:val="left"/>
              <w:rPr>
                <w:rFonts w:hint="eastAsia" w:ascii="仿宋_GB2312" w:hAnsi="仿宋_GB2312" w:eastAsia="仿宋_GB2312" w:cs="仿宋_GB2312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对村口、水塘、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沿河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周边等关键公共空间进行景观提升与功能植入，打造具有标识性的入口景观、生态宜人的滨水休闲空间以及体现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  <w:lang w:val="en-US" w:eastAsia="zh-CN"/>
              </w:rPr>
              <w:t>侨乡</w:t>
            </w:r>
            <w:r>
              <w:rPr>
                <w:rFonts w:hint="eastAsia" w:ascii="仿宋_GB2312" w:hAnsi="仿宋_GB2312" w:eastAsia="仿宋_GB2312" w:cs="仿宋_GB2312"/>
                <w:sz w:val="24"/>
                <w:szCs w:val="24"/>
              </w:rPr>
              <w:t>特色的观光节点。</w:t>
            </w:r>
          </w:p>
        </w:tc>
      </w:tr>
      <w:tr w14:paraId="20A347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restart"/>
            <w:shd w:val="clear" w:color="auto" w:fill="auto"/>
            <w:vAlign w:val="center"/>
          </w:tcPr>
          <w:p w14:paraId="1B712529">
            <w:pPr>
              <w:jc w:val="center"/>
              <w:rPr>
                <w:rFonts w:hint="eastAsia" w:ascii="宋体" w:hAnsi="宋体" w:eastAsia="宋体" w:cs="宋体"/>
                <w:color w:val="auto"/>
                <w:kern w:val="2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8"/>
                <w:szCs w:val="28"/>
              </w:rPr>
              <w:t>支持保障</w:t>
            </w:r>
          </w:p>
        </w:tc>
        <w:tc>
          <w:tcPr>
            <w:tcW w:w="1511" w:type="dxa"/>
            <w:shd w:val="clear" w:color="auto" w:fill="auto"/>
            <w:vAlign w:val="center"/>
          </w:tcPr>
          <w:p w14:paraId="40DAC229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预计投入资金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507D9950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u w:val="single"/>
              </w:rPr>
              <w:t>约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u w:val="single"/>
                <w:lang w:val="en-US" w:eastAsia="zh-CN"/>
              </w:rPr>
              <w:t xml:space="preserve">     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万元，期望完成时间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年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月</w:t>
            </w:r>
          </w:p>
        </w:tc>
      </w:tr>
      <w:tr w14:paraId="24C77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20D22A56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shd w:val="clear" w:color="auto" w:fill="auto"/>
            <w:vAlign w:val="center"/>
          </w:tcPr>
          <w:p w14:paraId="24A30ED7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协同共创条件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7A075922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u w:val="singl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可安排设计师驻地（提供：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 xml:space="preserve"> 住宿 □ 办公空间 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 xml:space="preserve"> 餐食）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□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</w:rPr>
              <w:t>可组织村民座谈会 □其他支持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lang w:eastAsia="zh-CN"/>
              </w:rPr>
              <w:t>：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szCs w:val="24"/>
                <w:u w:val="single"/>
                <w:lang w:val="en-US" w:eastAsia="zh-CN"/>
              </w:rPr>
              <w:t xml:space="preserve">        </w:t>
            </w:r>
          </w:p>
        </w:tc>
      </w:tr>
      <w:tr w14:paraId="5688BC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2" w:hRule="atLeast"/>
        </w:trPr>
        <w:tc>
          <w:tcPr>
            <w:tcW w:w="764" w:type="dxa"/>
            <w:vMerge w:val="continue"/>
          </w:tcPr>
          <w:p w14:paraId="74386A6F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shd w:val="clear" w:color="auto" w:fill="auto"/>
            <w:vAlign w:val="center"/>
          </w:tcPr>
          <w:p w14:paraId="56686EC5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土地流转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0D0EC344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 w14:paraId="54DDAF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764" w:type="dxa"/>
            <w:vMerge w:val="continue"/>
          </w:tcPr>
          <w:p w14:paraId="226CA1AB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shd w:val="clear" w:color="auto" w:fill="auto"/>
            <w:vAlign w:val="center"/>
          </w:tcPr>
          <w:p w14:paraId="38BB3208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资金补贴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28437C8F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 w14:paraId="0ED49E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64" w:type="dxa"/>
            <w:vMerge w:val="continue"/>
          </w:tcPr>
          <w:p w14:paraId="66D7550F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shd w:val="clear" w:color="auto" w:fill="auto"/>
            <w:vAlign w:val="center"/>
          </w:tcPr>
          <w:p w14:paraId="4B8FDDA5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审批绿色通道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6D18160D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  <w:tr w14:paraId="3836FE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2" w:hRule="atLeast"/>
        </w:trPr>
        <w:tc>
          <w:tcPr>
            <w:tcW w:w="764" w:type="dxa"/>
            <w:vMerge w:val="continue"/>
          </w:tcPr>
          <w:p w14:paraId="619F13EE">
            <w:pPr>
              <w:rPr>
                <w:rFonts w:hint="eastAsia" w:ascii="宋体" w:hAnsi="宋体" w:eastAsia="宋体" w:cs="宋体"/>
                <w:sz w:val="28"/>
                <w:szCs w:val="28"/>
              </w:rPr>
            </w:pPr>
          </w:p>
        </w:tc>
        <w:tc>
          <w:tcPr>
            <w:tcW w:w="1511" w:type="dxa"/>
            <w:shd w:val="clear" w:color="auto" w:fill="auto"/>
            <w:vAlign w:val="center"/>
          </w:tcPr>
          <w:p w14:paraId="5A4B03BD">
            <w:pPr>
              <w:jc w:val="center"/>
              <w:rPr>
                <w:rFonts w:hint="eastAsia" w:ascii="宋体" w:hAnsi="宋体" w:eastAsia="宋体" w:cs="宋体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sz w:val="24"/>
                <w:szCs w:val="24"/>
              </w:rPr>
              <w:t>其他</w:t>
            </w:r>
          </w:p>
        </w:tc>
        <w:tc>
          <w:tcPr>
            <w:tcW w:w="6247" w:type="dxa"/>
            <w:shd w:val="clear" w:color="auto" w:fill="auto"/>
            <w:vAlign w:val="center"/>
          </w:tcPr>
          <w:p w14:paraId="6CC1EFDD">
            <w:pPr>
              <w:jc w:val="left"/>
              <w:rPr>
                <w:rFonts w:hint="eastAsia" w:ascii="仿宋_GB2312" w:hAnsi="仿宋_GB2312" w:eastAsia="仿宋_GB2312" w:cs="仿宋_GB2312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</w:tbl>
    <w:p w14:paraId="7CB66FFF">
      <w:pPr>
        <w:rPr>
          <w:rFonts w:hint="eastAsia"/>
        </w:rPr>
      </w:pPr>
      <w:r>
        <w:rPr>
          <w:rFonts w:hint="eastAsia"/>
        </w:rPr>
        <w:br w:type="page"/>
      </w:r>
    </w:p>
    <w:p w14:paraId="4F37CE7F">
      <w:pPr>
        <w:rPr>
          <w:rFonts w:hint="eastAsia" w:ascii="微软雅黑" w:hAnsi="微软雅黑" w:eastAsia="微软雅黑"/>
          <w:b/>
          <w:bCs/>
          <w:sz w:val="22"/>
          <w:szCs w:val="24"/>
        </w:rPr>
      </w:pPr>
      <w:r>
        <w:rPr>
          <w:rFonts w:hint="eastAsia" w:ascii="微软雅黑" w:hAnsi="微软雅黑" w:eastAsia="微软雅黑"/>
          <w:b/>
          <w:bCs/>
          <w:sz w:val="22"/>
          <w:szCs w:val="24"/>
        </w:rPr>
        <w:t>附图、照片</w:t>
      </w:r>
    </w:p>
    <w:p w14:paraId="2AF9B761">
      <w:pPr>
        <w:jc w:val="center"/>
        <w:rPr>
          <w:rFonts w:hint="eastAsia" w:ascii="微软雅黑" w:hAnsi="微软雅黑" w:eastAsia="微软雅黑"/>
        </w:rPr>
      </w:pPr>
      <w:r>
        <w:rPr>
          <w:rFonts w:hint="eastAsia"/>
        </w:rPr>
        <w:drawing>
          <wp:inline distT="0" distB="0" distL="0" distR="0">
            <wp:extent cx="4319905" cy="2458720"/>
            <wp:effectExtent l="0" t="0" r="4445" b="17780"/>
            <wp:docPr id="211421474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4214749" name="图片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458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FCC487">
      <w:pPr>
        <w:jc w:val="center"/>
        <w:rPr>
          <w:rFonts w:hint="eastAsia" w:ascii="微软雅黑" w:hAnsi="微软雅黑" w:eastAsia="微软雅黑"/>
        </w:rPr>
      </w:pPr>
      <w:r>
        <w:rPr>
          <w:rFonts w:hint="eastAsia"/>
        </w:rPr>
        <w:drawing>
          <wp:inline distT="0" distB="0" distL="0" distR="0">
            <wp:extent cx="4319905" cy="3358515"/>
            <wp:effectExtent l="0" t="0" r="4445" b="13335"/>
            <wp:docPr id="20378070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7807051" name="图片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35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0C430A">
      <w:pPr>
        <w:jc w:val="center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drawing>
          <wp:inline distT="0" distB="0" distL="0" distR="0">
            <wp:extent cx="4319905" cy="2523490"/>
            <wp:effectExtent l="0" t="0" r="4445" b="10160"/>
            <wp:docPr id="1645493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549365" name="图片 5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523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74A1DD">
      <w:pPr>
        <w:jc w:val="center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drawing>
          <wp:inline distT="0" distB="0" distL="0" distR="0">
            <wp:extent cx="4319905" cy="2847340"/>
            <wp:effectExtent l="0" t="0" r="4445" b="10160"/>
            <wp:docPr id="105323127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231271" name="图片 8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847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725CD8">
      <w:pPr>
        <w:jc w:val="center"/>
        <w:rPr>
          <w:rFonts w:hint="eastAsia" w:ascii="微软雅黑" w:hAnsi="微软雅黑" w:eastAsia="微软雅黑"/>
        </w:rPr>
      </w:pPr>
      <w:r>
        <w:rPr>
          <w:rFonts w:hint="eastAsia" w:ascii="微软雅黑" w:hAnsi="微软雅黑" w:eastAsia="微软雅黑"/>
        </w:rPr>
        <w:drawing>
          <wp:inline distT="0" distB="0" distL="0" distR="0">
            <wp:extent cx="4319905" cy="3045460"/>
            <wp:effectExtent l="0" t="0" r="4445" b="2540"/>
            <wp:docPr id="19679363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936316" name="图片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0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60C833">
      <w:pPr>
        <w:jc w:val="center"/>
        <w:rPr>
          <w:rFonts w:hint="eastAsia" w:ascii="微软雅黑" w:hAnsi="微软雅黑" w:eastAsia="微软雅黑"/>
        </w:rPr>
      </w:pPr>
      <w:r>
        <w:drawing>
          <wp:inline distT="0" distB="0" distL="114300" distR="114300">
            <wp:extent cx="4319905" cy="2494280"/>
            <wp:effectExtent l="0" t="0" r="444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249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D1E6D">
      <w:pPr>
        <w:rPr>
          <w:rFonts w:hint="eastAsia" w:ascii="微软雅黑" w:hAnsi="微软雅黑" w:eastAsia="微软雅黑"/>
        </w:rPr>
      </w:pPr>
    </w:p>
    <w:p w14:paraId="3ABBE44D">
      <w:pPr>
        <w:rPr>
          <w:rFonts w:hint="eastAsia"/>
        </w:rPr>
      </w:pPr>
    </w:p>
    <w:p w14:paraId="2FD696AF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Segoe UI Symbol">
    <w:panose1 w:val="020B0502040204020203"/>
    <w:charset w:val="00"/>
    <w:family w:val="swiss"/>
    <w:pitch w:val="default"/>
    <w:sig w:usb0="800001E3" w:usb1="1200FFEF" w:usb2="00040000" w:usb3="04000000" w:csb0="00000001" w:csb1="4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05A5"/>
    <w:rsid w:val="00103744"/>
    <w:rsid w:val="001325B8"/>
    <w:rsid w:val="00220585"/>
    <w:rsid w:val="0043056E"/>
    <w:rsid w:val="004605A5"/>
    <w:rsid w:val="00486F4E"/>
    <w:rsid w:val="007E5E92"/>
    <w:rsid w:val="008634B5"/>
    <w:rsid w:val="00925EEF"/>
    <w:rsid w:val="0094616B"/>
    <w:rsid w:val="00962F18"/>
    <w:rsid w:val="009A1257"/>
    <w:rsid w:val="009A1CF1"/>
    <w:rsid w:val="00A06BFB"/>
    <w:rsid w:val="00AA2226"/>
    <w:rsid w:val="00B1120B"/>
    <w:rsid w:val="00B54638"/>
    <w:rsid w:val="00BA1519"/>
    <w:rsid w:val="00C7499B"/>
    <w:rsid w:val="00CD6EEF"/>
    <w:rsid w:val="00D86CD1"/>
    <w:rsid w:val="00E84F7D"/>
    <w:rsid w:val="00EE7B7D"/>
    <w:rsid w:val="283917B2"/>
    <w:rsid w:val="3A5710C3"/>
    <w:rsid w:val="44D34460"/>
    <w:rsid w:val="792B3285"/>
    <w:rsid w:val="7D734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4">
    <w:name w:val="heading 1"/>
    <w:basedOn w:val="1"/>
    <w:next w:val="1"/>
    <w:link w:val="19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5">
    <w:name w:val="heading 2"/>
    <w:basedOn w:val="1"/>
    <w:next w:val="1"/>
    <w:link w:val="20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6">
    <w:name w:val="heading 3"/>
    <w:basedOn w:val="1"/>
    <w:next w:val="1"/>
    <w:link w:val="21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7">
    <w:name w:val="heading 4"/>
    <w:basedOn w:val="1"/>
    <w:next w:val="1"/>
    <w:link w:val="22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8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  <w:szCs w:val="24"/>
    </w:rPr>
  </w:style>
  <w:style w:type="paragraph" w:styleId="9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40"/>
      <w:outlineLvl w:val="5"/>
    </w:pPr>
    <w:rPr>
      <w:rFonts w:cstheme="majorBidi"/>
      <w:b/>
      <w:bCs/>
      <w:color w:val="104862" w:themeColor="accent1" w:themeShade="BF"/>
    </w:rPr>
  </w:style>
  <w:style w:type="paragraph" w:styleId="10">
    <w:name w:val="heading 7"/>
    <w:basedOn w:val="1"/>
    <w:next w:val="1"/>
    <w:link w:val="25"/>
    <w:semiHidden/>
    <w:unhideWhenUsed/>
    <w:qFormat/>
    <w:uiPriority w:val="9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1">
    <w:name w:val="heading 8"/>
    <w:basedOn w:val="1"/>
    <w:next w:val="1"/>
    <w:link w:val="26"/>
    <w:semiHidden/>
    <w:unhideWhenUsed/>
    <w:qFormat/>
    <w:uiPriority w:val="9"/>
    <w:pPr>
      <w:keepNext/>
      <w:keepLines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2">
    <w:name w:val="heading 9"/>
    <w:basedOn w:val="1"/>
    <w:next w:val="1"/>
    <w:link w:val="27"/>
    <w:semiHidden/>
    <w:unhideWhenUsed/>
    <w:qFormat/>
    <w:uiPriority w:val="9"/>
    <w:pPr>
      <w:keepNext/>
      <w:keepLines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8">
    <w:name w:val="Default Paragraph Font"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 w:firstLineChars="200"/>
    </w:pPr>
  </w:style>
  <w:style w:type="paragraph" w:styleId="3">
    <w:name w:val="Body Text Indent"/>
    <w:basedOn w:val="1"/>
    <w:next w:val="2"/>
    <w:qFormat/>
    <w:uiPriority w:val="0"/>
    <w:pPr>
      <w:spacing w:after="120" w:afterLines="0"/>
      <w:ind w:left="420" w:leftChars="200"/>
    </w:pPr>
  </w:style>
  <w:style w:type="paragraph" w:styleId="13">
    <w:name w:val="Subtitle"/>
    <w:basedOn w:val="1"/>
    <w:next w:val="1"/>
    <w:link w:val="29"/>
    <w:qFormat/>
    <w:uiPriority w:val="11"/>
    <w:pPr>
      <w:spacing w:after="160"/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5">
    <w:name w:val="Title"/>
    <w:basedOn w:val="1"/>
    <w:next w:val="1"/>
    <w:link w:val="28"/>
    <w:qFormat/>
    <w:uiPriority w:val="10"/>
    <w:pPr>
      <w:spacing w:after="80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table" w:styleId="17">
    <w:name w:val="Table Grid"/>
    <w:basedOn w:val="16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9">
    <w:name w:val="标题 1 字符"/>
    <w:basedOn w:val="18"/>
    <w:link w:val="4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20">
    <w:name w:val="标题 2 字符"/>
    <w:basedOn w:val="18"/>
    <w:link w:val="5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21">
    <w:name w:val="标题 3 字符"/>
    <w:basedOn w:val="18"/>
    <w:link w:val="6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22">
    <w:name w:val="标题 4 字符"/>
    <w:basedOn w:val="18"/>
    <w:link w:val="7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3">
    <w:name w:val="标题 5 字符"/>
    <w:basedOn w:val="18"/>
    <w:link w:val="8"/>
    <w:semiHidden/>
    <w:qFormat/>
    <w:uiPriority w:val="9"/>
    <w:rPr>
      <w:rFonts w:cstheme="majorBidi"/>
      <w:color w:val="104862" w:themeColor="accent1" w:themeShade="BF"/>
      <w:sz w:val="24"/>
      <w:szCs w:val="24"/>
    </w:rPr>
  </w:style>
  <w:style w:type="character" w:customStyle="1" w:styleId="24">
    <w:name w:val="标题 6 字符"/>
    <w:basedOn w:val="18"/>
    <w:link w:val="9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5">
    <w:name w:val="标题 7 字符"/>
    <w:basedOn w:val="18"/>
    <w:link w:val="10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8 字符"/>
    <w:basedOn w:val="18"/>
    <w:link w:val="11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7">
    <w:name w:val="标题 9 字符"/>
    <w:basedOn w:val="18"/>
    <w:link w:val="12"/>
    <w:semiHidden/>
    <w:qFormat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8">
    <w:name w:val="标题 字符"/>
    <w:basedOn w:val="18"/>
    <w:link w:val="15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9">
    <w:name w:val="副标题 字符"/>
    <w:basedOn w:val="18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30">
    <w:name w:val="Quote"/>
    <w:basedOn w:val="1"/>
    <w:next w:val="1"/>
    <w:link w:val="31"/>
    <w:qFormat/>
    <w:uiPriority w:val="29"/>
    <w:pPr>
      <w:spacing w:before="160" w:after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1">
    <w:name w:val="引用 字符"/>
    <w:basedOn w:val="18"/>
    <w:link w:val="30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2">
    <w:name w:val="List Paragraph"/>
    <w:basedOn w:val="1"/>
    <w:qFormat/>
    <w:uiPriority w:val="34"/>
    <w:pPr>
      <w:ind w:left="720"/>
      <w:contextualSpacing/>
    </w:pPr>
  </w:style>
  <w:style w:type="character" w:customStyle="1" w:styleId="33">
    <w:name w:val="Intense Emphasis"/>
    <w:basedOn w:val="18"/>
    <w:qFormat/>
    <w:uiPriority w:val="21"/>
    <w:rPr>
      <w:i/>
      <w:iCs/>
      <w:color w:val="104862" w:themeColor="accent1" w:themeShade="BF"/>
    </w:rPr>
  </w:style>
  <w:style w:type="paragraph" w:styleId="34">
    <w:name w:val="Intense Quote"/>
    <w:basedOn w:val="1"/>
    <w:next w:val="1"/>
    <w:link w:val="35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5">
    <w:name w:val="明显引用 字符"/>
    <w:basedOn w:val="18"/>
    <w:link w:val="34"/>
    <w:qFormat/>
    <w:uiPriority w:val="30"/>
    <w:rPr>
      <w:i/>
      <w:iCs/>
      <w:color w:val="104862" w:themeColor="accent1" w:themeShade="BF"/>
    </w:rPr>
  </w:style>
  <w:style w:type="character" w:customStyle="1" w:styleId="36">
    <w:name w:val="Intense Reference"/>
    <w:basedOn w:val="18"/>
    <w:qFormat/>
    <w:uiPriority w:val="32"/>
    <w:rPr>
      <w:b/>
      <w:bCs/>
      <w:smallCaps/>
      <w:color w:val="104862" w:themeColor="accent1" w:themeShade="BF"/>
      <w:spacing w:val="5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1450</Words>
  <Characters>1468</Characters>
  <Lines>212</Lines>
  <Paragraphs>182</Paragraphs>
  <TotalTime>7</TotalTime>
  <ScaleCrop>false</ScaleCrop>
  <LinksUpToDate>false</LinksUpToDate>
  <CharactersWithSpaces>1533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2026-01-07T02:59:00Z</dcterms:created>
  <dc:creator>wei tang</dc:creator>
  <cp:lastModifiedBy>jelyy</cp:lastModifiedBy>
  <dcterms:modified xsi:type="dcterms:W3CDTF">2026-01-09T07:17:05Z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eyJoZGlkIjoiOTMzNDQ2NmVkYmQ0ODIxMDM0ZTZiZDI1MmQ5MTIyMGMiLCJ1c2VySWQiOiIxMzc1MzkzNTQ5In0=</vt:lpwstr>
  </property>
  <property fmtid="{D5CDD505-2E9C-101B-9397-08002B2CF9AE}" pid="3" name="KSOProductBuildVer">
    <vt:lpwstr>2052-12.1.0.24034</vt:lpwstr>
  </property>
  <property fmtid="{D5CDD505-2E9C-101B-9397-08002B2CF9AE}" pid="4" name="ICV">
    <vt:lpwstr>C77647B866854AB29D3B4DFB11A4B040_13</vt:lpwstr>
  </property>
</Properties>
</file>